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7277A" w14:textId="77777777"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14:paraId="0B426FC8" w14:textId="77777777"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14:paraId="0EC6F3E5" w14:textId="77777777"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657A78">
        <w:rPr>
          <w:sz w:val="22"/>
          <w:szCs w:val="22"/>
        </w:rPr>
        <w:t>7</w:t>
      </w:r>
      <w:r w:rsidR="00627B26">
        <w:rPr>
          <w:sz w:val="22"/>
          <w:szCs w:val="22"/>
        </w:rPr>
        <w:t>/20</w:t>
      </w:r>
      <w:r>
        <w:rPr>
          <w:sz w:val="22"/>
          <w:szCs w:val="22"/>
        </w:rPr>
        <w:t>-01/</w:t>
      </w:r>
      <w:r w:rsidR="00627B26">
        <w:rPr>
          <w:sz w:val="22"/>
          <w:szCs w:val="22"/>
        </w:rPr>
        <w:t>1</w:t>
      </w:r>
      <w:r w:rsidR="00657A78">
        <w:rPr>
          <w:sz w:val="22"/>
          <w:szCs w:val="22"/>
        </w:rPr>
        <w:t>1</w:t>
      </w:r>
    </w:p>
    <w:p w14:paraId="0187606D" w14:textId="77777777"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14:paraId="418AECF8" w14:textId="77777777"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657A78">
        <w:rPr>
          <w:sz w:val="22"/>
          <w:szCs w:val="22"/>
        </w:rPr>
        <w:t>5</w:t>
      </w:r>
      <w:r w:rsidR="003D6000">
        <w:rPr>
          <w:sz w:val="22"/>
          <w:szCs w:val="22"/>
        </w:rPr>
        <w:t>.</w:t>
      </w:r>
      <w:r w:rsidR="00657A78">
        <w:rPr>
          <w:sz w:val="22"/>
          <w:szCs w:val="22"/>
        </w:rPr>
        <w:t>11</w:t>
      </w:r>
      <w:r w:rsidR="00686570">
        <w:rPr>
          <w:sz w:val="22"/>
          <w:szCs w:val="22"/>
        </w:rPr>
        <w:t>.2020.</w:t>
      </w:r>
    </w:p>
    <w:p w14:paraId="09B1C8DB" w14:textId="77777777" w:rsidR="009D20D1" w:rsidRDefault="009D20D1" w:rsidP="009D20D1">
      <w:pPr>
        <w:rPr>
          <w:b/>
          <w:sz w:val="22"/>
          <w:szCs w:val="22"/>
        </w:rPr>
      </w:pPr>
    </w:p>
    <w:p w14:paraId="04732193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14:paraId="4FDBB7BA" w14:textId="77777777" w:rsidR="008E1EE2" w:rsidRDefault="008E1EE2" w:rsidP="008E1EE2">
      <w:pPr>
        <w:rPr>
          <w:b/>
          <w:sz w:val="22"/>
          <w:szCs w:val="22"/>
        </w:rPr>
      </w:pPr>
    </w:p>
    <w:p w14:paraId="3B2444AB" w14:textId="77777777"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3D6000">
        <w:rPr>
          <w:b/>
          <w:sz w:val="22"/>
          <w:szCs w:val="22"/>
          <w:u w:val="single"/>
        </w:rPr>
        <w:t>učitelja/icu razredne nastave</w:t>
      </w:r>
      <w:r>
        <w:rPr>
          <w:b/>
          <w:sz w:val="22"/>
          <w:szCs w:val="22"/>
          <w:u w:val="single"/>
        </w:rPr>
        <w:t>:</w:t>
      </w:r>
    </w:p>
    <w:p w14:paraId="796B35C0" w14:textId="77777777" w:rsidR="008E1EE2" w:rsidRDefault="008E1EE2" w:rsidP="008E1EE2">
      <w:pPr>
        <w:rPr>
          <w:sz w:val="22"/>
          <w:szCs w:val="22"/>
          <w:u w:val="single"/>
        </w:rPr>
      </w:pPr>
    </w:p>
    <w:p w14:paraId="20F9FA97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14:paraId="310F45CD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14:paraId="31F5A63C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14:paraId="37F720B1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14:paraId="1EADF86D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14:paraId="13202413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14:paraId="5314A266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14:paraId="59A7176B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14:paraId="7A3A4114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14:paraId="27DF9AF9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14:paraId="4848FBED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14:paraId="32F59927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14:paraId="13012FC8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14:paraId="2F92D17E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14:paraId="2E7B8D57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14:paraId="54EA0FC8" w14:textId="77777777"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14:paraId="326C48F1" w14:textId="77777777" w:rsidR="008E1EE2" w:rsidRDefault="008E1EE2" w:rsidP="008E1EE2"/>
    <w:p w14:paraId="7F3724DB" w14:textId="77777777"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14:paraId="018DE790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>
        <w:rPr>
          <w:sz w:val="22"/>
          <w:szCs w:val="22"/>
        </w:rPr>
        <w:t>)</w:t>
      </w:r>
    </w:p>
    <w:p w14:paraId="3BF9387C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14:paraId="62F8B73A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3.Pravilnik o izvođenu izleta, ekskurzija i drugih odgojno-obrazovnih aktivnosti izvan škole (NN 67/14. i 81/15.)</w:t>
      </w:r>
    </w:p>
    <w:p w14:paraId="7A9A0AA0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4. Pravilnik o načinima, postupcima i elementima vrednovanja učenika u osnovnoj i srednjoj školi (NN</w:t>
      </w:r>
      <w:hyperlink r:id="rId19" w:history="1">
        <w:r>
          <w:rPr>
            <w:rStyle w:val="Hiperveza"/>
            <w:sz w:val="22"/>
            <w:szCs w:val="22"/>
          </w:rPr>
          <w:t> 112/2010</w:t>
        </w:r>
      </w:hyperlink>
      <w:r>
        <w:rPr>
          <w:sz w:val="22"/>
          <w:szCs w:val="22"/>
        </w:rPr>
        <w:t> , </w:t>
      </w:r>
      <w:hyperlink r:id="rId20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14:paraId="0296A52C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5.Pravilnik o kriterijima za izricanje pedagoških mjera (NN 94/23015, 3/2017</w:t>
      </w:r>
      <w:r w:rsidR="00DC2D45">
        <w:rPr>
          <w:sz w:val="22"/>
          <w:szCs w:val="22"/>
        </w:rPr>
        <w:t>)</w:t>
      </w:r>
    </w:p>
    <w:p w14:paraId="684B4500" w14:textId="77777777" w:rsidR="008E1EE2" w:rsidRDefault="008E1EE2" w:rsidP="008E1EE2">
      <w:pPr>
        <w:rPr>
          <w:sz w:val="22"/>
          <w:szCs w:val="22"/>
        </w:rPr>
      </w:pPr>
    </w:p>
    <w:p w14:paraId="2AA2FDCD" w14:textId="77777777" w:rsidR="008E1EE2" w:rsidRDefault="008E1EE2" w:rsidP="008E1EE2">
      <w:pPr>
        <w:rPr>
          <w:sz w:val="22"/>
          <w:szCs w:val="22"/>
        </w:rPr>
      </w:pPr>
    </w:p>
    <w:p w14:paraId="49EF6210" w14:textId="77777777"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14:paraId="7F91C950" w14:textId="77777777"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16E50989" w14:textId="77777777" w:rsidR="008763AD" w:rsidRDefault="008763AD" w:rsidP="009D20D1">
      <w:pPr>
        <w:rPr>
          <w:sz w:val="22"/>
          <w:szCs w:val="22"/>
        </w:rPr>
      </w:pPr>
    </w:p>
    <w:p w14:paraId="6BAB8FD4" w14:textId="77777777"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14:paraId="2FB9A7A9" w14:textId="77777777" w:rsidR="009D20D1" w:rsidRDefault="009D20D1" w:rsidP="009D20D1">
      <w:pPr>
        <w:rPr>
          <w:sz w:val="22"/>
          <w:szCs w:val="22"/>
        </w:rPr>
      </w:pPr>
    </w:p>
    <w:p w14:paraId="0061CAC0" w14:textId="77777777"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627B26"/>
    <w:rsid w:val="006556AA"/>
    <w:rsid w:val="00657A78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DC2D45"/>
    <w:rsid w:val="00E1261A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2BAA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Danijela Čuček</cp:lastModifiedBy>
  <cp:revision>2</cp:revision>
  <cp:lastPrinted>2020-03-11T06:37:00Z</cp:lastPrinted>
  <dcterms:created xsi:type="dcterms:W3CDTF">2020-11-05T11:32:00Z</dcterms:created>
  <dcterms:modified xsi:type="dcterms:W3CDTF">2020-11-05T11:32:00Z</dcterms:modified>
</cp:coreProperties>
</file>